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dxa" w:w="10300"/>
        <w:tblLayout w:type="fixed"/>
        <w:tblLook w:firstColumn="1" w:firstRow="1" w:lastColumn="0" w:lastRow="0" w:noHBand="0" w:noVBand="1" w:val="04A0"/>
        <w:tblInd w:w="0" w:type="dxa"/>
      </w:tblPr>
      <w:tblGrid>
        <w:gridCol w:w="2250"/>
        <w:gridCol w:w="8050"/>
      </w:tblGrid>
      <w:tr>
        <w:trPr>
          <w:cantSplit/>
        </w:trPr>
        <w:tc>
          <w:tcPr>
            <w:tcW w:type="dxa" w:w="2250"/>
            <w:tcMar>
              <w:top w:w="0" w:type="dxa"/>
              <w:start w:w="0" w:type="dxa"/>
              <w:bottom w:w="0" w:type="dxa"/>
              <w:end w:w="110" w:type="dxa"/>
            </w:tcMar>
          </w:tcPr>
          <w:p>
            <w:pPr>
              <w:spacing w:after="0"/>
              <w:jc w:val="center"/>
            </w:pPr>
            <w:r>
              <w:drawing>
                <wp:inline xmlns:a="http://schemas.openxmlformats.org/drawingml/2006/main" xmlns:pic="http://schemas.openxmlformats.org/drawingml/2006/picture">
                  <wp:extent cx="1170432" cy="1170432"/>
                  <wp:docPr id="1" name="Picture 1" descr="Branden Foote BF monogram" title="Branden Foote BF monogram"/>
                  <wp:cNvGraphicFramePr>
                    <a:graphicFrameLocks noChangeAspect="1"/>
                  </wp:cNvGraphicFramePr>
                  <a:graphic>
                    <a:graphicData uri="http://schemas.openxmlformats.org/drawingml/2006/picture">
                      <pic:pic>
                        <pic:nvPicPr>
                          <pic:cNvPr id="0" name="monogram.png"/>
                          <pic:cNvPicPr/>
                        </pic:nvPicPr>
                        <pic:blipFill>
                          <a:blip r:embed="rId9"/>
                          <a:stretch>
                            <a:fillRect/>
                          </a:stretch>
                        </pic:blipFill>
                        <pic:spPr>
                          <a:xfrm>
                            <a:off x="0" y="0"/>
                            <a:ext cx="1170432" cy="1170432"/>
                          </a:xfrm>
                          <a:prstGeom prst="rect"/>
                        </pic:spPr>
                      </pic:pic>
                    </a:graphicData>
                  </a:graphic>
                </wp:inline>
              </w:drawing>
            </w:r>
          </w:p>
        </w:tc>
        <w:tc>
          <w:tcPr>
            <w:tcW w:type="dxa" w:w="8050"/>
            <w:tcMar>
              <w:top w:w="80" w:type="dxa"/>
              <w:start w:w="0" w:type="dxa"/>
              <w:bottom w:w="0" w:type="dxa"/>
              <w:end w:w="0" w:type="dxa"/>
            </w:tcMar>
          </w:tcPr>
          <w:p>
            <w:pPr>
              <w:pStyle w:val="ResumeName"/>
            </w:pPr>
            <w:r>
              <w:t>Branden Foote</w:t>
            </w:r>
          </w:p>
          <w:p>
            <w:pPr>
              <w:pStyle w:val="ResumeCompany"/>
              <w:spacing w:after="100"/>
            </w:pPr>
            <w:r>
              <w:t>GTM Consulting and Revenue Operations</w:t>
            </w:r>
          </w:p>
          <w:p>
            <w:pPr>
              <w:pStyle w:val="ResumeContact"/>
            </w:pPr>
            <w:r>
              <w:rPr>
                <w:rFonts w:ascii="Arial" w:hAnsi="Arial" w:eastAsia="Arial" w:cs="Arial"/>
                <w:b/>
                <w:i w:val="0"/>
                <w:color w:val="101010"/>
                <w:sz w:val="17"/>
              </w:rPr>
              <w:t xml:space="preserve">Location: </w:t>
            </w:r>
            <w:r>
              <w:rPr>
                <w:rFonts w:ascii="Arial" w:hAnsi="Arial" w:eastAsia="Arial" w:cs="Arial"/>
                <w:b w:val="0"/>
                <w:i w:val="0"/>
                <w:color w:val="333333"/>
                <w:sz w:val="17"/>
              </w:rPr>
              <w:t xml:space="preserve">Denver, Colorado    </w:t>
            </w:r>
            <w:r>
              <w:rPr>
                <w:rFonts w:ascii="Arial" w:hAnsi="Arial" w:eastAsia="Arial" w:cs="Arial"/>
                <w:b w:val="0"/>
                <w:i w:val="0"/>
                <w:color w:val="333333"/>
                <w:sz w:val="17"/>
              </w:rPr>
              <w:br/>
            </w:r>
            <w:r>
              <w:rPr>
                <w:rFonts w:ascii="Arial" w:hAnsi="Arial" w:eastAsia="Arial" w:cs="Arial"/>
                <w:b/>
                <w:i w:val="0"/>
                <w:color w:val="101010"/>
                <w:sz w:val="17"/>
              </w:rPr>
              <w:t xml:space="preserve">Phone: </w:t>
            </w:r>
            <w:r>
              <w:rPr>
                <w:rFonts w:ascii="Arial" w:hAnsi="Arial" w:eastAsia="Arial" w:cs="Arial"/>
                <w:b w:val="0"/>
                <w:i w:val="0"/>
                <w:color w:val="333333"/>
                <w:sz w:val="17"/>
              </w:rPr>
              <w:t xml:space="preserve">720-934-6752    </w:t>
            </w:r>
            <w:r>
              <w:rPr>
                <w:rFonts w:ascii="Arial" w:hAnsi="Arial" w:eastAsia="Arial" w:cs="Arial"/>
                <w:b/>
                <w:i w:val="0"/>
                <w:color w:val="101010"/>
                <w:sz w:val="17"/>
              </w:rPr>
              <w:t xml:space="preserve">Email: </w:t>
            </w:r>
            <w:r>
              <w:rPr>
                <w:rFonts w:ascii="Arial" w:hAnsi="Arial" w:eastAsia="Arial" w:cs="Arial"/>
                <w:b w:val="0"/>
                <w:i w:val="0"/>
                <w:color w:val="333333"/>
                <w:sz w:val="17"/>
              </w:rPr>
              <w:t>brandenfoote@gmail.com</w:t>
            </w:r>
            <w:r>
              <w:rPr>
                <w:rFonts w:ascii="Arial" w:hAnsi="Arial" w:eastAsia="Arial" w:cs="Arial"/>
                <w:b/>
                <w:i w:val="0"/>
                <w:color w:val="101010"/>
                <w:sz w:val="17"/>
              </w:rPr>
              <w:br/>
              <w:t xml:space="preserve">LinkedIn: </w:t>
            </w:r>
            <w:hyperlink r:id="rId10">
              <w:r>
                <w:rPr>
                  <w:rFonts w:ascii="Arial" w:hAnsi="Arial" w:eastAsia="Arial" w:cs="Arial"/>
                  <w:color w:val="333333"/>
                  <w:sz w:val="17"/>
                </w:rPr>
                <w:t>linkedin.com/in/brandenfoote</w:t>
              </w:r>
            </w:hyperlink>
          </w:p>
        </w:tc>
      </w:tr>
    </w:tbl>
    <w:p>
      <w:pPr>
        <w:spacing w:before="0" w:after="60"/>
      </w:pPr>
      <w:r/>
    </w:p>
    <w:tbl>
      <w:tblPr>
        <w:tblW w:type="dxa" w:w="10300"/>
        <w:tblLayout w:type="fixed"/>
        <w:tblLook w:firstColumn="1" w:firstRow="1" w:lastColumn="0" w:lastRow="0" w:noHBand="0" w:noVBand="1" w:val="04A0"/>
        <w:tblInd w:w="0" w:type="dxa"/>
      </w:tblPr>
      <w:tblGrid>
        <w:gridCol w:w="1785"/>
        <w:gridCol w:w="490"/>
        <w:gridCol w:w="8025"/>
      </w:tblGrid>
      <w:tr>
        <w:trPr>
          <w:cantSplit/>
        </w:trPr>
        <w:tc>
          <w:tcPr>
            <w:tcW w:type="dxa" w:w="1785"/>
            <w:tcMar>
              <w:top w:w="0" w:type="dxa"/>
              <w:start w:w="0" w:type="dxa"/>
              <w:bottom w:w="105" w:type="dxa"/>
              <w:end w:w="88" w:type="dxa"/>
            </w:tcMar>
          </w:tcPr>
          <w:p/>
        </w:tc>
        <w:tc>
          <w:tcPr>
            <w:tcW w:type="dxa" w:w="490"/>
            <w:tcMar>
              <w:top w:w="0" w:type="dxa"/>
              <w:start w:w="0" w:type="dxa"/>
              <w:bottom w:w="0" w:type="dxa"/>
              <w:end w:w="0" w:type="dxa"/>
            </w:tcMar>
            <w:vAlign w:val="top"/>
            <w:tcBorders>
              <w:right w:val="single" w:sz="5" w:space="0" w:color="B8B8B8"/>
            </w:tcBorders>
          </w:tcPr>
          <w:p>
            <w:pPr>
              <w:spacing w:before="0" w:after="0" w:line="240" w:lineRule="auto"/>
              <w:jc w:val="right"/>
            </w:pPr>
            <w:r>
              <w:drawing>
                <wp:inline xmlns:a="http://schemas.openxmlformats.org/drawingml/2006/main" xmlns:pic="http://schemas.openxmlformats.org/drawingml/2006/picture">
                  <wp:extent cx="237744" cy="237744"/>
                  <wp:docPr id="2" name="Picture 2" descr="Profile section marker" title="Profile section marker"/>
                  <wp:cNvGraphicFramePr>
                    <a:graphicFrameLocks noChangeAspect="1"/>
                  </wp:cNvGraphicFramePr>
                  <a:graphic>
                    <a:graphicData uri="http://schemas.openxmlformats.org/drawingml/2006/picture">
                      <pic:pic>
                        <pic:nvPicPr>
                          <pic:cNvPr id="0" name="profile.png"/>
                          <pic:cNvPicPr/>
                        </pic:nvPicPr>
                        <pic:blipFill>
                          <a:blip r:embed="rId11"/>
                          <a:stretch>
                            <a:fillRect/>
                          </a:stretch>
                        </pic:blipFill>
                        <pic:spPr>
                          <a:xfrm>
                            <a:off x="0" y="0"/>
                            <a:ext cx="237744" cy="237744"/>
                          </a:xfrm>
                          <a:prstGeom prst="rect"/>
                        </pic:spPr>
                      </pic:pic>
                    </a:graphicData>
                  </a:graphic>
                </wp:inline>
              </w:drawing>
            </w:r>
          </w:p>
        </w:tc>
        <w:tc>
          <w:tcPr>
            <w:tcW w:type="dxa" w:w="8025"/>
            <w:tcMar>
              <w:top w:w="0" w:type="dxa"/>
              <w:start w:w="0" w:type="dxa"/>
              <w:bottom w:w="105" w:type="dxa"/>
              <w:end w:w="0" w:type="dxa"/>
            </w:tcMar>
          </w:tcPr>
          <w:p>
            <w:pPr>
              <w:pStyle w:val="Heading1"/>
            </w:pPr>
            <w:r>
              <w:t>Consulting Profile</w:t>
            </w:r>
          </w:p>
          <w:p>
            <w:pPr>
              <w:pStyle w:val="ResumeSummary"/>
            </w:pPr>
            <w:r>
              <w:t>I help founders and revenue leaders set revenue plans and build the CRM, outbound, and sales processes to execute them. Most of my consulting has been with SaaS businesses, alongside work in retail, marketing services, and other technology businesses.</w:t>
            </w:r>
          </w:p>
          <w:p>
            <w:pPr>
              <w:pStyle w:val="ResumeSummaryLast"/>
            </w:pPr>
            <w:r>
              <w:t>My work combines hands-on systems and analytics with sales leadership at Settle, BILL, Homebase, and Gusto. I build forecasting and capacity models, configure CRM workflows, and develop sales playbooks and coaching programs.</w:t>
            </w:r>
          </w:p>
        </w:tc>
      </w:tr>
      <w:tr>
        <w:trPr>
          <w:cantSplit/>
        </w:trPr>
        <w:tc>
          <w:tcPr>
            <w:tcW w:type="dxa" w:w="1785"/>
            <w:tcMar>
              <w:top w:w="10" w:type="dxa"/>
              <w:start w:w="0" w:type="dxa"/>
              <w:bottom w:w="66" w:type="dxa"/>
              <w:end w:w="88" w:type="dxa"/>
            </w:tcMar>
          </w:tcPr>
          <w:p/>
        </w:tc>
        <w:tc>
          <w:tcPr>
            <w:tcW w:type="dxa" w:w="490"/>
            <w:tcMar>
              <w:top w:w="10" w:type="dxa"/>
              <w:start w:w="0" w:type="dxa"/>
              <w:bottom w:w="0" w:type="dxa"/>
              <w:end w:w="0" w:type="dxa"/>
            </w:tcMar>
            <w:vAlign w:val="top"/>
            <w:tcBorders>
              <w:right w:val="single" w:sz="5" w:space="0" w:color="B8B8B8"/>
            </w:tcBorders>
          </w:tcPr>
          <w:p>
            <w:pPr>
              <w:spacing w:before="0" w:after="0" w:line="240" w:lineRule="auto"/>
              <w:jc w:val="right"/>
            </w:pPr>
            <w:r>
              <w:drawing>
                <wp:inline xmlns:a="http://schemas.openxmlformats.org/drawingml/2006/main" xmlns:pic="http://schemas.openxmlformats.org/drawingml/2006/picture">
                  <wp:extent cx="237744" cy="237744"/>
                  <wp:docPr id="3" name="Picture 3" descr="Work experience section marker" title="Work experience section marker"/>
                  <wp:cNvGraphicFramePr>
                    <a:graphicFrameLocks noChangeAspect="1"/>
                  </wp:cNvGraphicFramePr>
                  <a:graphic>
                    <a:graphicData uri="http://schemas.openxmlformats.org/drawingml/2006/picture">
                      <pic:pic>
                        <pic:nvPicPr>
                          <pic:cNvPr id="0" name="work.png"/>
                          <pic:cNvPicPr/>
                        </pic:nvPicPr>
                        <pic:blipFill>
                          <a:blip r:embed="rId12"/>
                          <a:stretch>
                            <a:fillRect/>
                          </a:stretch>
                        </pic:blipFill>
                        <pic:spPr>
                          <a:xfrm>
                            <a:off x="0" y="0"/>
                            <a:ext cx="237744" cy="237744"/>
                          </a:xfrm>
                          <a:prstGeom prst="rect"/>
                        </pic:spPr>
                      </pic:pic>
                    </a:graphicData>
                  </a:graphic>
                </wp:inline>
              </w:drawing>
            </w:r>
          </w:p>
        </w:tc>
        <w:tc>
          <w:tcPr>
            <w:tcW w:type="dxa" w:w="8025"/>
            <w:tcMar>
              <w:top w:w="10" w:type="dxa"/>
              <w:start w:w="0" w:type="dxa"/>
              <w:bottom w:w="66" w:type="dxa"/>
              <w:end w:w="0" w:type="dxa"/>
            </w:tcMar>
          </w:tcPr>
          <w:p>
            <w:pPr>
              <w:pStyle w:val="Heading1"/>
            </w:pPr>
            <w:r>
              <w:t>GTM Consulting</w:t>
            </w:r>
          </w:p>
        </w:tc>
      </w:tr>
      <w:tr>
        <w:trPr>
          <w:cantSplit/>
        </w:trPr>
        <w:tc>
          <w:tcPr>
            <w:tcW w:type="dxa" w:w="1785"/>
            <w:tcMar>
              <w:top w:w="32" w:type="dxa"/>
              <w:start w:w="0" w:type="dxa"/>
              <w:bottom w:w="100" w:type="dxa"/>
              <w:end w:w="88" w:type="dxa"/>
            </w:tcMar>
            <w:vAlign w:val="top"/>
          </w:tcPr>
          <w:p>
            <w:pPr>
              <w:pStyle w:val="ResumeDate"/>
            </w:pPr>
            <w:r>
              <w:t>03/2021 - Present</w:t>
            </w:r>
          </w:p>
        </w:tc>
        <w:tc>
          <w:tcPr>
            <w:tcW w:type="dxa" w:w="490"/>
            <w:tcMar>
              <w:top w:w="45" w:type="dxa"/>
              <w:start w:w="0" w:type="dxa"/>
              <w:bottom w:w="100" w:type="dxa"/>
              <w:end w:w="0" w:type="dxa"/>
            </w:tcMar>
            <w:vAlign w:val="top"/>
            <w:tcBorders>
              <w:right w:val="single" w:sz="5" w:space="0" w:color="B8B8B8"/>
            </w:tcBorders>
          </w:tcPr>
          <w:p>
            <w:pPr>
              <w:spacing w:before="0" w:after="0" w:line="240" w:lineRule="auto"/>
              <w:jc w:val="right"/>
            </w:pPr>
            <w:r>
              <w:drawing>
                <wp:inline xmlns:a="http://schemas.openxmlformats.org/drawingml/2006/main" xmlns:pic="http://schemas.openxmlformats.org/drawingml/2006/picture">
                  <wp:extent cx="100584" cy="100584"/>
                  <wp:docPr id="4" name="Picture 4" descr="Decorative timeline marker" title="Decorative timeline marker"/>
                  <wp:cNvGraphicFramePr>
                    <a:graphicFrameLocks noChangeAspect="1"/>
                  </wp:cNvGraphicFramePr>
                  <a:graphic>
                    <a:graphicData uri="http://schemas.openxmlformats.org/drawingml/2006/picture">
                      <pic:pic>
                        <pic:nvPicPr>
                          <pic:cNvPr id="0" name="dot.png"/>
                          <pic:cNvPicPr/>
                        </pic:nvPicPr>
                        <pic:blipFill>
                          <a:blip r:embed="rId13"/>
                          <a:stretch>
                            <a:fillRect/>
                          </a:stretch>
                        </pic:blipFill>
                        <pic:spPr>
                          <a:xfrm>
                            <a:off x="0" y="0"/>
                            <a:ext cx="100584" cy="100584"/>
                          </a:xfrm>
                          <a:prstGeom prst="rect"/>
                        </pic:spPr>
                      </pic:pic>
                    </a:graphicData>
                  </a:graphic>
                </wp:inline>
              </w:drawing>
            </w:r>
          </w:p>
        </w:tc>
        <w:tc>
          <w:tcPr>
            <w:tcW w:type="dxa" w:w="8025"/>
            <w:tcMar>
              <w:top w:w="0" w:type="dxa"/>
              <w:start w:w="0" w:type="dxa"/>
              <w:bottom w:w="100" w:type="dxa"/>
              <w:end w:w="0" w:type="dxa"/>
            </w:tcMar>
          </w:tcPr>
          <w:p>
            <w:pPr>
              <w:pStyle w:val="Heading2"/>
            </w:pPr>
            <w:r>
              <w:t>Founder and Principal, GTM and Revenue Systems</w:t>
            </w:r>
          </w:p>
          <w:p>
            <w:pPr>
              <w:pStyle w:val="ResumeCompany"/>
            </w:pPr>
            <w:r>
              <w:t>Trestle Leadership Consulting | Fractional</w:t>
            </w:r>
          </w:p>
          <w:p>
            <w:pPr>
              <w:pStyle w:val="ListBullet"/>
              <w:numPr>
                <w:ilvl w:val="0"/>
                <w:numId w:val="1"/>
              </w:numPr>
              <w:ind w:left="364" w:hanging="187" w:right="0"/>
            </w:pPr>
            <w:r>
              <w:t>Build revenue plans covering forecasting, pacing, quota setting, territory design, and headcount and capacity planning.</w:t>
            </w:r>
          </w:p>
          <w:p>
            <w:pPr>
              <w:pStyle w:val="ListBullet"/>
              <w:numPr>
                <w:ilvl w:val="0"/>
                <w:numId w:val="1"/>
              </w:numPr>
              <w:ind w:left="364" w:hanging="187" w:right="0"/>
            </w:pPr>
            <w:r>
              <w:t>Develop ICP and lead-scoring models using firmographics, technographics, engagement, and predicted contract value; apply them to account prioritization and territory coverage.</w:t>
            </w:r>
          </w:p>
          <w:p>
            <w:pPr>
              <w:pStyle w:val="ListBullet"/>
              <w:numPr>
                <w:ilvl w:val="0"/>
                <w:numId w:val="1"/>
              </w:numPr>
              <w:ind w:left="364" w:hanging="187" w:right="0"/>
            </w:pPr>
            <w:r>
              <w:t>Unify marketing and sales workflows, build outbound processes, and coordinate outreach to multiple stakeholders within target accounts.</w:t>
            </w:r>
          </w:p>
          <w:p>
            <w:pPr>
              <w:pStyle w:val="ListBullet"/>
              <w:numPr>
                <w:ilvl w:val="0"/>
                <w:numId w:val="1"/>
              </w:numPr>
              <w:ind w:left="364" w:hanging="187" w:right="0"/>
            </w:pPr>
            <w:r>
              <w:t>Implement and administer CRM, sales intelligence, and BI tools; use SQL and pipeline analysis for planning and business reviews.</w:t>
            </w:r>
          </w:p>
          <w:p>
            <w:pPr>
              <w:pStyle w:val="ListBullet"/>
              <w:numPr>
                <w:ilvl w:val="0"/>
                <w:numId w:val="1"/>
              </w:numPr>
              <w:ind w:left="364" w:hanging="187" w:right="0"/>
            </w:pPr>
            <w:r>
              <w:t>Create systems for collecting prospect feedback and feature requests, and design communications for asynchronous teams.</w:t>
            </w:r>
          </w:p>
          <w:p>
            <w:pPr>
              <w:pStyle w:val="ListBullet"/>
              <w:numPr>
                <w:ilvl w:val="0"/>
                <w:numId w:val="1"/>
              </w:numPr>
              <w:ind w:left="364" w:hanging="187" w:right="0"/>
            </w:pPr>
            <w:r>
              <w:t>Develop sales methodology, playbooks, and coaching programs, and build AI sales assistants.</w:t>
            </w:r>
          </w:p>
          <w:p>
            <w:pPr>
              <w:pStyle w:val="ResumeCompany"/>
            </w:pPr>
            <w:r>
              <w:t>Selected consulting engagements</w:t>
            </w:r>
          </w:p>
          <w:p>
            <w:pPr>
              <w:pStyle w:val="ListBullet"/>
              <w:numPr>
                <w:ilvl w:val="0"/>
                <w:numId w:val="1"/>
              </w:numPr>
              <w:ind w:left="364" w:hanging="187" w:right="0"/>
            </w:pPr>
            <w:r>
              <w:rPr>
                <w:b/>
              </w:rPr>
              <w:t>AI CRM platform:</w:t>
            </w:r>
            <w:r>
              <w:t xml:space="preserve"> Built the GTM foundation across forecasting, pacing, quota setting, territories, lead scoring, outbound, and sales coaching.</w:t>
            </w:r>
          </w:p>
          <w:p>
            <w:pPr>
              <w:pStyle w:val="ListBullet"/>
              <w:numPr>
                <w:ilvl w:val="0"/>
                <w:numId w:val="1"/>
              </w:numPr>
              <w:ind w:left="364" w:hanging="187" w:right="0"/>
            </w:pPr>
            <w:r>
              <w:rPr>
                <w:b/>
              </w:rPr>
              <w:t>Print on demand platform:</w:t>
            </w:r>
            <w:r>
              <w:t xml:space="preserve"> Rebuilt GTM planning and sales workflows, including account scoring, coordinated outreach, prospect feedback, asynchronous communications, and an AI sales assistant.</w:t>
            </w:r>
          </w:p>
        </w:tc>
      </w:tr>
      <w:tr>
        <w:trPr>
          <w:cantSplit/>
        </w:trPr>
        <w:tc>
          <w:tcPr>
            <w:tcW w:type="dxa" w:w="1785"/>
            <w:tcMar>
              <w:top w:w="40" w:type="dxa"/>
              <w:start w:w="0" w:type="dxa"/>
              <w:bottom w:w="20" w:type="dxa"/>
              <w:end w:w="88" w:type="dxa"/>
            </w:tcMar>
            <w:vAlign w:val="top"/>
          </w:tcPr>
          <w:p>
            <w:pPr>
              <w:pStyle w:val="ResumeDate"/>
            </w:pPr>
            <w:r/>
          </w:p>
          <w:p>
            <w:pPr>
              <w:pStyle w:val="ResumeLocation"/>
            </w:pPr>
            <w:r/>
          </w:p>
        </w:tc>
        <w:tc>
          <w:tcPr>
            <w:tcW w:type="dxa" w:w="490"/>
            <w:tcMar>
              <w:top w:w="53" w:type="dxa"/>
              <w:start w:w="0" w:type="dxa"/>
              <w:bottom w:w="20" w:type="dxa"/>
              <w:end w:w="0" w:type="dxa"/>
            </w:tcMar>
            <w:vAlign w:val="top"/>
            <w:tcBorders>
              <w:right w:val="single" w:sz="5" w:space="0" w:color="B8B8B8"/>
            </w:tcBorders>
          </w:tcPr>
          <w:p>
            <w:pPr>
              <w:spacing w:before="0" w:after="0" w:line="240" w:lineRule="auto"/>
              <w:jc w:val="right"/>
            </w:pPr>
            <w:r>
              <w:drawing>
                <wp:inline xmlns:a="http://schemas.openxmlformats.org/drawingml/2006/main" xmlns:pic="http://schemas.openxmlformats.org/drawingml/2006/picture">
                  <wp:extent cx="100584" cy="100584"/>
                  <wp:docPr id="5" name="Picture 5" descr="Decorative timeline marker" title="Decorative timeline marker"/>
                  <wp:cNvGraphicFramePr>
                    <a:graphicFrameLocks noChangeAspect="1"/>
                  </wp:cNvGraphicFramePr>
                  <a:graphic>
                    <a:graphicData uri="http://schemas.openxmlformats.org/drawingml/2006/picture">
                      <pic:pic>
                        <pic:nvPicPr>
                          <pic:cNvPr id="0" name="dot.png"/>
                          <pic:cNvPicPr/>
                        </pic:nvPicPr>
                        <pic:blipFill>
                          <a:blip r:embed="rId13"/>
                          <a:stretch>
                            <a:fillRect/>
                          </a:stretch>
                        </pic:blipFill>
                        <pic:spPr>
                          <a:xfrm>
                            <a:off x="0" y="0"/>
                            <a:ext cx="100584" cy="100584"/>
                          </a:xfrm>
                          <a:prstGeom prst="rect"/>
                        </pic:spPr>
                      </pic:pic>
                    </a:graphicData>
                  </a:graphic>
                </wp:inline>
              </w:drawing>
            </w:r>
          </w:p>
        </w:tc>
        <w:tc>
          <w:tcPr>
            <w:tcW w:type="dxa" w:w="8025"/>
            <w:tcMar>
              <w:top w:w="8" w:type="dxa"/>
              <w:start w:w="0" w:type="dxa"/>
              <w:bottom w:w="20" w:type="dxa"/>
              <w:end w:w="0" w:type="dxa"/>
            </w:tcMar>
          </w:tcPr>
          <w:p>
            <w:pPr>
              <w:pStyle w:val="Heading1"/>
            </w:pPr>
            <w:r>
              <w:t>Industry Experience</w:t>
            </w:r>
          </w:p>
          <w:p>
            <w:pPr>
              <w:pStyle w:val="ListBullet"/>
              <w:numPr>
                <w:ilvl w:val="0"/>
                <w:numId w:val="1"/>
              </w:numPr>
              <w:ind w:left="364" w:hanging="187" w:right="0"/>
            </w:pPr>
            <w:r>
              <w:t>CPG technology</w:t>
            </w:r>
          </w:p>
          <w:p>
            <w:pPr>
              <w:pStyle w:val="ListBullet"/>
              <w:numPr>
                <w:ilvl w:val="0"/>
                <w:numId w:val="1"/>
              </w:numPr>
              <w:ind w:left="364" w:hanging="187" w:right="0"/>
            </w:pPr>
            <w:r>
              <w:t>Specialty retail</w:t>
            </w:r>
          </w:p>
          <w:p>
            <w:pPr>
              <w:pStyle w:val="ListBullet"/>
              <w:numPr>
                <w:ilvl w:val="0"/>
                <w:numId w:val="1"/>
              </w:numPr>
              <w:ind w:left="364" w:hanging="187" w:right="0"/>
            </w:pPr>
            <w:r>
              <w:t>AI compensation and planning</w:t>
            </w:r>
          </w:p>
          <w:p>
            <w:pPr>
              <w:pStyle w:val="ListBullet"/>
              <w:numPr>
                <w:ilvl w:val="0"/>
                <w:numId w:val="1"/>
              </w:numPr>
              <w:ind w:left="364" w:hanging="187" w:right="0"/>
            </w:pPr>
            <w:r>
              <w:t>AI CRM</w:t>
            </w:r>
          </w:p>
          <w:p>
            <w:pPr>
              <w:pStyle w:val="ListBullet"/>
              <w:numPr>
                <w:ilvl w:val="0"/>
                <w:numId w:val="1"/>
              </w:numPr>
              <w:ind w:left="364" w:hanging="187" w:right="0"/>
            </w:pPr>
            <w:r>
              <w:t>Social marketing agencies</w:t>
            </w:r>
          </w:p>
          <w:p>
            <w:pPr>
              <w:pStyle w:val="ListBullet"/>
              <w:numPr>
                <w:ilvl w:val="0"/>
                <w:numId w:val="1"/>
              </w:numPr>
              <w:ind w:left="364" w:hanging="187" w:right="0"/>
            </w:pPr>
            <w:r>
              <w:t>Event technology</w:t>
            </w:r>
          </w:p>
          <w:p>
            <w:pPr>
              <w:pStyle w:val="ListBullet"/>
              <w:numPr>
                <w:ilvl w:val="0"/>
                <w:numId w:val="1"/>
              </w:numPr>
              <w:ind w:left="364" w:hanging="187" w:right="0"/>
            </w:pPr>
            <w:r>
              <w:t>Local marketplace apps</w:t>
            </w:r>
          </w:p>
          <w:p>
            <w:pPr>
              <w:pStyle w:val="ResumeCompany"/>
            </w:pPr>
            <w:r>
              <w:t>Original models</w:t>
            </w:r>
          </w:p>
          <w:p>
            <w:pPr>
              <w:pStyle w:val="ListBullet"/>
              <w:numPr>
                <w:ilvl w:val="0"/>
                <w:numId w:val="1"/>
              </w:numPr>
              <w:ind w:left="364" w:hanging="187" w:right="0"/>
            </w:pPr>
            <w:r>
              <w:t>RevPack: forecasting and pacing. DealPack: deal analysis and a proxy probability of winning. HCM: sales headcount and capacity planning.</w:t>
            </w:r>
          </w:p>
        </w:tc>
      </w:tr>
    </w:tbl>
    <w:p>
      <w:pPr>
        <w:spacing w:before="0" w:after="0"/>
      </w:pPr>
      <w:r>
        <w:br w:type="page"/>
      </w:r>
    </w:p>
    <w:tbl>
      <w:tblPr>
        <w:tblW w:type="dxa" w:w="10300"/>
        <w:tblLayout w:type="fixed"/>
        <w:tblLook w:firstColumn="1" w:firstRow="1" w:lastColumn="0" w:lastRow="0" w:noHBand="0" w:noVBand="1" w:val="04A0"/>
        <w:tblInd w:w="0" w:type="dxa"/>
      </w:tblPr>
      <w:tblGrid>
        <w:gridCol w:w="1785"/>
        <w:gridCol w:w="490"/>
        <w:gridCol w:w="8025"/>
      </w:tblGrid>
      <w:tr>
        <w:trPr>
          <w:cantSplit/>
        </w:trPr>
        <w:tc>
          <w:tcPr>
            <w:tcW w:type="dxa" w:w="1785"/>
            <w:tcMar>
              <w:top w:w="0" w:type="dxa"/>
              <w:start w:w="0" w:type="dxa"/>
              <w:bottom w:w="70" w:type="dxa"/>
              <w:end w:w="88" w:type="dxa"/>
            </w:tcMar>
          </w:tcPr>
          <w:p/>
        </w:tc>
        <w:tc>
          <w:tcPr>
            <w:tcW w:type="dxa" w:w="490"/>
            <w:tcMar>
              <w:top w:w="0" w:type="dxa"/>
              <w:start w:w="0" w:type="dxa"/>
              <w:bottom w:w="0" w:type="dxa"/>
              <w:end w:w="0" w:type="dxa"/>
            </w:tcMar>
            <w:vAlign w:val="top"/>
            <w:tcBorders>
              <w:right w:val="single" w:sz="5" w:space="0" w:color="B8B8B8"/>
            </w:tcBorders>
          </w:tcPr>
          <w:p>
            <w:pPr>
              <w:spacing w:before="0" w:after="0" w:line="240" w:lineRule="auto"/>
              <w:jc w:val="right"/>
            </w:pPr>
            <w:r>
              <w:drawing>
                <wp:inline xmlns:a="http://schemas.openxmlformats.org/drawingml/2006/main" xmlns:pic="http://schemas.openxmlformats.org/drawingml/2006/picture">
                  <wp:extent cx="237744" cy="237744"/>
                  <wp:docPr id="6" name="Picture 6" descr="Work experience section marker" title="Work experience section marker"/>
                  <wp:cNvGraphicFramePr>
                    <a:graphicFrameLocks noChangeAspect="1"/>
                  </wp:cNvGraphicFramePr>
                  <a:graphic>
                    <a:graphicData uri="http://schemas.openxmlformats.org/drawingml/2006/picture">
                      <pic:pic>
                        <pic:nvPicPr>
                          <pic:cNvPr id="0" name="work.png"/>
                          <pic:cNvPicPr/>
                        </pic:nvPicPr>
                        <pic:blipFill>
                          <a:blip r:embed="rId12"/>
                          <a:stretch>
                            <a:fillRect/>
                          </a:stretch>
                        </pic:blipFill>
                        <pic:spPr>
                          <a:xfrm>
                            <a:off x="0" y="0"/>
                            <a:ext cx="237744" cy="237744"/>
                          </a:xfrm>
                          <a:prstGeom prst="rect"/>
                        </pic:spPr>
                      </pic:pic>
                    </a:graphicData>
                  </a:graphic>
                </wp:inline>
              </w:drawing>
            </w:r>
          </w:p>
        </w:tc>
        <w:tc>
          <w:tcPr>
            <w:tcW w:type="dxa" w:w="8025"/>
            <w:tcMar>
              <w:top w:w="0" w:type="dxa"/>
              <w:start w:w="0" w:type="dxa"/>
              <w:bottom w:w="70" w:type="dxa"/>
              <w:end w:w="0" w:type="dxa"/>
            </w:tcMar>
          </w:tcPr>
          <w:p>
            <w:pPr>
              <w:pStyle w:val="Heading1"/>
            </w:pPr>
            <w:r>
              <w:t>Sales and GTM Leadership</w:t>
            </w:r>
          </w:p>
        </w:tc>
      </w:tr>
      <w:tr>
        <w:trPr>
          <w:cantSplit/>
        </w:trPr>
        <w:tc>
          <w:tcPr>
            <w:tcW w:type="dxa" w:w="1785"/>
            <w:tcMar>
              <w:top w:w="40" w:type="dxa"/>
              <w:start w:w="0" w:type="dxa"/>
              <w:bottom w:w="20" w:type="dxa"/>
              <w:end w:w="88" w:type="dxa"/>
            </w:tcMar>
            <w:vAlign w:val="top"/>
          </w:tcPr>
          <w:p>
            <w:pPr>
              <w:pStyle w:val="ResumeDate"/>
            </w:pPr>
            <w:r>
              <w:t>04/2024 - 08/2025</w:t>
            </w:r>
          </w:p>
          <w:p>
            <w:pPr>
              <w:pStyle w:val="ResumeLocation"/>
            </w:pPr>
            <w:r>
              <w:t>Denver</w:t>
            </w:r>
          </w:p>
        </w:tc>
        <w:tc>
          <w:tcPr>
            <w:tcW w:type="dxa" w:w="490"/>
            <w:tcMar>
              <w:top w:w="53" w:type="dxa"/>
              <w:start w:w="0" w:type="dxa"/>
              <w:bottom w:w="20" w:type="dxa"/>
              <w:end w:w="0" w:type="dxa"/>
            </w:tcMar>
            <w:vAlign w:val="top"/>
            <w:tcBorders>
              <w:right w:val="single" w:sz="5" w:space="0" w:color="B8B8B8"/>
            </w:tcBorders>
          </w:tcPr>
          <w:p>
            <w:pPr>
              <w:spacing w:before="0" w:after="0" w:line="240" w:lineRule="auto"/>
              <w:jc w:val="right"/>
            </w:pPr>
            <w:r>
              <w:drawing>
                <wp:inline xmlns:a="http://schemas.openxmlformats.org/drawingml/2006/main" xmlns:pic="http://schemas.openxmlformats.org/drawingml/2006/picture">
                  <wp:extent cx="100584" cy="100584"/>
                  <wp:docPr id="5" name="Picture 5" descr="Decorative timeline marker" title="Decorative timeline marker"/>
                  <wp:cNvGraphicFramePr>
                    <a:graphicFrameLocks noChangeAspect="1"/>
                  </wp:cNvGraphicFramePr>
                  <a:graphic>
                    <a:graphicData uri="http://schemas.openxmlformats.org/drawingml/2006/picture">
                      <pic:pic>
                        <pic:nvPicPr>
                          <pic:cNvPr id="0" name="dot.png"/>
                          <pic:cNvPicPr/>
                        </pic:nvPicPr>
                        <pic:blipFill>
                          <a:blip r:embed="rId13"/>
                          <a:stretch>
                            <a:fillRect/>
                          </a:stretch>
                        </pic:blipFill>
                        <pic:spPr>
                          <a:xfrm>
                            <a:off x="0" y="0"/>
                            <a:ext cx="100584" cy="100584"/>
                          </a:xfrm>
                          <a:prstGeom prst="rect"/>
                        </pic:spPr>
                      </pic:pic>
                    </a:graphicData>
                  </a:graphic>
                </wp:inline>
              </w:drawing>
            </w:r>
          </w:p>
        </w:tc>
        <w:tc>
          <w:tcPr>
            <w:tcW w:type="dxa" w:w="8025"/>
            <w:tcMar>
              <w:top w:w="8" w:type="dxa"/>
              <w:start w:w="0" w:type="dxa"/>
              <w:bottom w:w="20" w:type="dxa"/>
              <w:end w:w="0" w:type="dxa"/>
            </w:tcMar>
          </w:tcPr>
          <w:p>
            <w:pPr>
              <w:pStyle w:val="Heading2"/>
            </w:pPr>
            <w:r>
              <w:t>Software Sales Director</w:t>
            </w:r>
          </w:p>
          <w:p>
            <w:pPr>
              <w:pStyle w:val="ResumeCompany"/>
            </w:pPr>
            <w:r>
              <w:t>Settle</w:t>
            </w:r>
          </w:p>
          <w:p>
            <w:pPr>
              <w:pStyle w:val="ListBullet"/>
              <w:numPr>
                <w:ilvl w:val="0"/>
                <w:numId w:val="1"/>
              </w:numPr>
              <w:ind w:left="364" w:hanging="187" w:right="0"/>
            </w:pPr>
            <w:r>
              <w:t>Owned forecasting, business reviews, capacity planning, and territory design alongside inbound, outbound, and enterprise sales leadership.</w:t>
            </w:r>
          </w:p>
          <w:p>
            <w:pPr>
              <w:pStyle w:val="ListBullet"/>
              <w:numPr>
                <w:ilvl w:val="0"/>
                <w:numId w:val="1"/>
              </w:numPr>
              <w:ind w:left="364" w:hanging="187" w:right="0"/>
            </w:pPr>
            <w:r>
              <w:t>Implemented and administered CRM, sales intelligence, and BI platforms; used SQL and pipeline analysis to support planning and identify revenue risk.</w:t>
            </w:r>
          </w:p>
          <w:p>
            <w:pPr>
              <w:pStyle w:val="ListBullet"/>
              <w:numPr>
                <w:ilvl w:val="0"/>
                <w:numId w:val="1"/>
              </w:numPr>
              <w:ind w:left="364" w:hanging="187" w:right="0"/>
            </w:pPr>
            <w:r>
              <w:t xml:space="preserve">Shifted inbound, outbound, and self-serve GTM toward a sales-led motion, improving onboarding and reducing free-trial churn by </w:t>
            </w:r>
            <w:r>
              <w:rPr>
                <w:b/>
              </w:rPr>
              <w:t>double-digit percentages</w:t>
            </w:r>
            <w:r>
              <w:t>.</w:t>
            </w:r>
          </w:p>
          <w:p>
            <w:pPr>
              <w:pStyle w:val="ListBullet"/>
              <w:numPr>
                <w:ilvl w:val="0"/>
                <w:numId w:val="1"/>
              </w:numPr>
              <w:ind w:left="364" w:hanging="187" w:right="0"/>
            </w:pPr>
            <w:r>
              <w:t>Introduced Speed-to-Lead response SLAs and partnered with product, implementation, and marketing on onboarding, ICP targeting, and priority verticals.</w:t>
            </w:r>
          </w:p>
          <w:p>
            <w:pPr>
              <w:pStyle w:val="ListBullet"/>
              <w:numPr>
                <w:ilvl w:val="0"/>
                <w:numId w:val="1"/>
              </w:numPr>
              <w:ind w:left="364" w:hanging="187" w:right="0"/>
            </w:pPr>
            <w:r>
              <w:t>Built specialized sales teams and introduced SPICED training, call frameworks, and objection-handling playbooks.</w:t>
            </w:r>
          </w:p>
        </w:tc>
      </w:tr>
      <w:tr>
        <w:trPr>
          <w:cantSplit/>
        </w:trPr>
        <w:tc>
          <w:tcPr>
            <w:tcW w:type="dxa" w:w="1785"/>
            <w:tcMar>
              <w:top w:w="32" w:type="dxa"/>
              <w:start w:w="0" w:type="dxa"/>
              <w:bottom w:w="100" w:type="dxa"/>
              <w:end w:w="88" w:type="dxa"/>
            </w:tcMar>
            <w:vAlign w:val="top"/>
          </w:tcPr>
          <w:p>
            <w:pPr>
              <w:pStyle w:val="ResumeDate"/>
            </w:pPr>
            <w:r>
              <w:t>01/2023 - 10/2023</w:t>
            </w:r>
          </w:p>
        </w:tc>
        <w:tc>
          <w:tcPr>
            <w:tcW w:type="dxa" w:w="490"/>
            <w:tcMar>
              <w:top w:w="45" w:type="dxa"/>
              <w:start w:w="0" w:type="dxa"/>
              <w:bottom w:w="100" w:type="dxa"/>
              <w:end w:w="0" w:type="dxa"/>
            </w:tcMar>
            <w:vAlign w:val="top"/>
            <w:tcBorders>
              <w:right w:val="single" w:sz="5" w:space="0" w:color="B8B8B8"/>
            </w:tcBorders>
          </w:tcPr>
          <w:p>
            <w:pPr>
              <w:spacing w:before="0" w:after="0" w:line="240" w:lineRule="auto"/>
              <w:jc w:val="right"/>
            </w:pPr>
            <w:r>
              <w:drawing>
                <wp:inline xmlns:a="http://schemas.openxmlformats.org/drawingml/2006/main" xmlns:pic="http://schemas.openxmlformats.org/drawingml/2006/picture">
                  <wp:extent cx="100584" cy="100584"/>
                  <wp:docPr id="7" name="Picture 7" descr="Decorative timeline marker" title="Decorative timeline marker"/>
                  <wp:cNvGraphicFramePr>
                    <a:graphicFrameLocks noChangeAspect="1"/>
                  </wp:cNvGraphicFramePr>
                  <a:graphic>
                    <a:graphicData uri="http://schemas.openxmlformats.org/drawingml/2006/picture">
                      <pic:pic>
                        <pic:nvPicPr>
                          <pic:cNvPr id="0" name="dot.png"/>
                          <pic:cNvPicPr/>
                        </pic:nvPicPr>
                        <pic:blipFill>
                          <a:blip r:embed="rId13"/>
                          <a:stretch>
                            <a:fillRect/>
                          </a:stretch>
                        </pic:blipFill>
                        <pic:spPr>
                          <a:xfrm>
                            <a:off x="0" y="0"/>
                            <a:ext cx="100584" cy="100584"/>
                          </a:xfrm>
                          <a:prstGeom prst="rect"/>
                        </pic:spPr>
                      </pic:pic>
                    </a:graphicData>
                  </a:graphic>
                </wp:inline>
              </w:drawing>
            </w:r>
          </w:p>
        </w:tc>
        <w:tc>
          <w:tcPr>
            <w:tcW w:type="dxa" w:w="8025"/>
            <w:tcMar>
              <w:top w:w="0" w:type="dxa"/>
              <w:start w:w="0" w:type="dxa"/>
              <w:bottom w:w="100" w:type="dxa"/>
              <w:end w:w="0" w:type="dxa"/>
            </w:tcMar>
          </w:tcPr>
          <w:p>
            <w:pPr>
              <w:pStyle w:val="Heading2"/>
            </w:pPr>
            <w:r>
              <w:t>Senior Sales Manager</w:t>
            </w:r>
          </w:p>
          <w:p>
            <w:pPr>
              <w:pStyle w:val="ResumeCompany"/>
            </w:pPr>
            <w:r>
              <w:t>BILL</w:t>
            </w:r>
          </w:p>
          <w:p>
            <w:pPr>
              <w:pStyle w:val="ListBullet"/>
              <w:numPr>
                <w:ilvl w:val="0"/>
                <w:numId w:val="1"/>
              </w:numPr>
              <w:ind w:left="364" w:hanging="187" w:right="0"/>
            </w:pPr>
            <w:r>
              <w:t xml:space="preserve">Expanded outbound into velocity sales, delivering </w:t>
            </w:r>
            <w:r>
              <w:rPr>
                <w:b/>
              </w:rPr>
              <w:t>70%</w:t>
            </w:r>
            <w:r>
              <w:t xml:space="preserve"> year-over-year revenue growth in the segment.</w:t>
            </w:r>
          </w:p>
          <w:p>
            <w:pPr>
              <w:pStyle w:val="ListBullet"/>
              <w:numPr>
                <w:ilvl w:val="0"/>
                <w:numId w:val="1"/>
              </w:numPr>
              <w:ind w:left="364" w:hanging="187" w:right="0"/>
            </w:pPr>
            <w:r>
              <w:t xml:space="preserve">Designed targeted outreach using customer insights, increasing conversion rates by </w:t>
            </w:r>
            <w:r>
              <w:rPr>
                <w:b/>
              </w:rPr>
              <w:t>23%</w:t>
            </w:r>
            <w:r>
              <w:t>; coached Account Executives on deal execution.</w:t>
            </w:r>
          </w:p>
        </w:tc>
      </w:tr>
      <w:tr>
        <w:trPr>
          <w:cantSplit/>
        </w:trPr>
        <w:tc>
          <w:tcPr>
            <w:tcW w:type="dxa" w:w="1785"/>
            <w:tcMar>
              <w:top w:w="32" w:type="dxa"/>
              <w:start w:w="0" w:type="dxa"/>
              <w:bottom w:w="100" w:type="dxa"/>
              <w:end w:w="88" w:type="dxa"/>
            </w:tcMar>
            <w:vAlign w:val="top"/>
          </w:tcPr>
          <w:p>
            <w:pPr>
              <w:pStyle w:val="ResumeDate"/>
            </w:pPr>
            <w:r>
              <w:t>09/2021 - 01/2023</w:t>
            </w:r>
          </w:p>
        </w:tc>
        <w:tc>
          <w:tcPr>
            <w:tcW w:type="dxa" w:w="490"/>
            <w:tcMar>
              <w:top w:w="45" w:type="dxa"/>
              <w:start w:w="0" w:type="dxa"/>
              <w:bottom w:w="100" w:type="dxa"/>
              <w:end w:w="0" w:type="dxa"/>
            </w:tcMar>
            <w:vAlign w:val="top"/>
            <w:tcBorders>
              <w:right w:val="single" w:sz="5" w:space="0" w:color="B8B8B8"/>
            </w:tcBorders>
          </w:tcPr>
          <w:p>
            <w:pPr>
              <w:spacing w:before="0" w:after="0" w:line="240" w:lineRule="auto"/>
              <w:jc w:val="right"/>
            </w:pPr>
            <w:r>
              <w:drawing>
                <wp:inline xmlns:a="http://schemas.openxmlformats.org/drawingml/2006/main" xmlns:pic="http://schemas.openxmlformats.org/drawingml/2006/picture">
                  <wp:extent cx="100584" cy="100584"/>
                  <wp:docPr id="8" name="Picture 8" descr="Decorative timeline marker" title="Decorative timeline marker"/>
                  <wp:cNvGraphicFramePr>
                    <a:graphicFrameLocks noChangeAspect="1"/>
                  </wp:cNvGraphicFramePr>
                  <a:graphic>
                    <a:graphicData uri="http://schemas.openxmlformats.org/drawingml/2006/picture">
                      <pic:pic>
                        <pic:nvPicPr>
                          <pic:cNvPr id="0" name="dot.png"/>
                          <pic:cNvPicPr/>
                        </pic:nvPicPr>
                        <pic:blipFill>
                          <a:blip r:embed="rId13"/>
                          <a:stretch>
                            <a:fillRect/>
                          </a:stretch>
                        </pic:blipFill>
                        <pic:spPr>
                          <a:xfrm>
                            <a:off x="0" y="0"/>
                            <a:ext cx="100584" cy="100584"/>
                          </a:xfrm>
                          <a:prstGeom prst="rect"/>
                        </pic:spPr>
                      </pic:pic>
                    </a:graphicData>
                  </a:graphic>
                </wp:inline>
              </w:drawing>
            </w:r>
          </w:p>
        </w:tc>
        <w:tc>
          <w:tcPr>
            <w:tcW w:type="dxa" w:w="8025"/>
            <w:tcMar>
              <w:top w:w="0" w:type="dxa"/>
              <w:start w:w="0" w:type="dxa"/>
              <w:bottom w:w="100" w:type="dxa"/>
              <w:end w:w="0" w:type="dxa"/>
            </w:tcMar>
          </w:tcPr>
          <w:p>
            <w:pPr>
              <w:pStyle w:val="Heading2"/>
            </w:pPr>
            <w:r>
              <w:t>Senior Manager, SaaS Sales</w:t>
            </w:r>
          </w:p>
          <w:p>
            <w:pPr>
              <w:pStyle w:val="ResumeCompany"/>
            </w:pPr>
            <w:r>
              <w:t>Homebase</w:t>
            </w:r>
          </w:p>
          <w:p>
            <w:pPr>
              <w:pStyle w:val="ListBullet"/>
              <w:numPr>
                <w:ilvl w:val="0"/>
                <w:numId w:val="1"/>
              </w:numPr>
              <w:ind w:left="364" w:hanging="187" w:right="0"/>
            </w:pPr>
            <w:r>
              <w:t xml:space="preserve">Built GTM strategy for core SaaS and enterprise initiatives; led the team to </w:t>
            </w:r>
            <w:r>
              <w:rPr>
                <w:b/>
              </w:rPr>
              <w:t>126%</w:t>
            </w:r>
            <w:r>
              <w:t xml:space="preserve"> quota attainment.</w:t>
            </w:r>
          </w:p>
          <w:p>
            <w:pPr>
              <w:pStyle w:val="ListBullet"/>
              <w:numPr>
                <w:ilvl w:val="0"/>
                <w:numId w:val="1"/>
              </w:numPr>
              <w:ind w:left="364" w:hanging="187" w:right="0"/>
            </w:pPr>
            <w:r>
              <w:t xml:space="preserve">Increased sales conversion by </w:t>
            </w:r>
            <w:r>
              <w:rPr>
                <w:b/>
              </w:rPr>
              <w:t>12%</w:t>
            </w:r>
            <w:r>
              <w:t xml:space="preserve"> through rep training, sales playbooks, and individual coaching.</w:t>
            </w:r>
          </w:p>
        </w:tc>
      </w:tr>
      <w:tr>
        <w:trPr>
          <w:cantSplit/>
        </w:trPr>
        <w:tc>
          <w:tcPr>
            <w:tcW w:type="dxa" w:w="1785"/>
            <w:tcMar>
              <w:top w:w="32" w:type="dxa"/>
              <w:start w:w="0" w:type="dxa"/>
              <w:bottom w:w="100" w:type="dxa"/>
              <w:end w:w="88" w:type="dxa"/>
            </w:tcMar>
            <w:vAlign w:val="top"/>
          </w:tcPr>
          <w:p>
            <w:pPr>
              <w:pStyle w:val="ResumeDate"/>
            </w:pPr>
            <w:r>
              <w:t>11/2016 - 09/2021</w:t>
            </w:r>
          </w:p>
          <w:p>
            <w:pPr>
              <w:pStyle w:val="ResumeLocation"/>
            </w:pPr>
            <w:r>
              <w:t>Denver</w:t>
            </w:r>
          </w:p>
        </w:tc>
        <w:tc>
          <w:tcPr>
            <w:tcW w:type="dxa" w:w="490"/>
            <w:tcMar>
              <w:top w:w="45" w:type="dxa"/>
              <w:start w:w="0" w:type="dxa"/>
              <w:bottom w:w="100" w:type="dxa"/>
              <w:end w:w="0" w:type="dxa"/>
            </w:tcMar>
            <w:vAlign w:val="top"/>
            <w:tcBorders>
              <w:right w:val="single" w:sz="5" w:space="0" w:color="B8B8B8"/>
            </w:tcBorders>
          </w:tcPr>
          <w:p>
            <w:pPr>
              <w:spacing w:before="0" w:after="0" w:line="240" w:lineRule="auto"/>
              <w:jc w:val="right"/>
            </w:pPr>
            <w:r>
              <w:drawing>
                <wp:inline xmlns:a="http://schemas.openxmlformats.org/drawingml/2006/main" xmlns:pic="http://schemas.openxmlformats.org/drawingml/2006/picture">
                  <wp:extent cx="100584" cy="100584"/>
                  <wp:docPr id="9" name="Picture 9" descr="Decorative timeline marker" title="Decorative timeline marker"/>
                  <wp:cNvGraphicFramePr>
                    <a:graphicFrameLocks noChangeAspect="1"/>
                  </wp:cNvGraphicFramePr>
                  <a:graphic>
                    <a:graphicData uri="http://schemas.openxmlformats.org/drawingml/2006/picture">
                      <pic:pic>
                        <pic:nvPicPr>
                          <pic:cNvPr id="0" name="dot.png"/>
                          <pic:cNvPicPr/>
                        </pic:nvPicPr>
                        <pic:blipFill>
                          <a:blip r:embed="rId13"/>
                          <a:stretch>
                            <a:fillRect/>
                          </a:stretch>
                        </pic:blipFill>
                        <pic:spPr>
                          <a:xfrm>
                            <a:off x="0" y="0"/>
                            <a:ext cx="100584" cy="100584"/>
                          </a:xfrm>
                          <a:prstGeom prst="rect"/>
                        </pic:spPr>
                      </pic:pic>
                    </a:graphicData>
                  </a:graphic>
                </wp:inline>
              </w:drawing>
            </w:r>
          </w:p>
        </w:tc>
        <w:tc>
          <w:tcPr>
            <w:tcW w:type="dxa" w:w="8025"/>
            <w:tcMar>
              <w:top w:w="0" w:type="dxa"/>
              <w:start w:w="0" w:type="dxa"/>
              <w:bottom w:w="100" w:type="dxa"/>
              <w:end w:w="0" w:type="dxa"/>
            </w:tcMar>
          </w:tcPr>
          <w:p>
            <w:pPr>
              <w:pStyle w:val="Heading2"/>
            </w:pPr>
            <w:r>
              <w:t>Senior Manager, Multiple Roles</w:t>
            </w:r>
          </w:p>
          <w:p>
            <w:pPr>
              <w:pStyle w:val="ResumeCompany"/>
            </w:pPr>
            <w:r>
              <w:t>Gusto</w:t>
            </w:r>
          </w:p>
          <w:p>
            <w:pPr>
              <w:pStyle w:val="ResumeCompany"/>
            </w:pPr>
            <w:r>
              <w:t>Senior Manager, Customer Success | 2020 - 2021</w:t>
            </w:r>
          </w:p>
          <w:p>
            <w:pPr>
              <w:pStyle w:val="ListBullet"/>
              <w:numPr>
                <w:ilvl w:val="0"/>
                <w:numId w:val="1"/>
              </w:numPr>
              <w:ind w:left="364" w:hanging="187" w:right="0"/>
            </w:pPr>
            <w:r>
              <w:t xml:space="preserve">Created a sales-focused revenue center within Customer Success, </w:t>
            </w:r>
            <w:r>
              <w:rPr>
                <w:b/>
              </w:rPr>
              <w:t>doubling revenue in six months</w:t>
            </w:r>
            <w:r>
              <w:t>; developed retention, expansion, and upsell KPIs.</w:t>
            </w:r>
          </w:p>
          <w:p>
            <w:pPr>
              <w:pStyle w:val="ResumeCompany"/>
            </w:pPr>
            <w:r>
              <w:t>Sales Manager and Senior Sales Associate | 2016 - 2020</w:t>
            </w:r>
          </w:p>
          <w:p>
            <w:pPr>
              <w:pStyle w:val="ListBullet"/>
              <w:numPr>
                <w:ilvl w:val="0"/>
                <w:numId w:val="1"/>
              </w:numPr>
              <w:ind w:left="364" w:hanging="187" w:right="0"/>
            </w:pPr>
            <w:r>
              <w:t xml:space="preserve">Scaled the sales organization by </w:t>
            </w:r>
            <w:r>
              <w:rPr>
                <w:b/>
              </w:rPr>
              <w:t>260%</w:t>
            </w:r>
            <w:r>
              <w:t xml:space="preserve"> through hiring, training, and performance management; recognized as the highest-producing manager in the organization.</w:t>
            </w:r>
          </w:p>
        </w:tc>
      </w:tr>
      <w:tr>
        <w:trPr>
          <w:cantSplit/>
        </w:trPr>
        <w:tc>
          <w:tcPr>
            <w:tcW w:type="dxa" w:w="1785"/>
            <w:tcMar>
              <w:top w:w="0" w:type="dxa"/>
              <w:start w:w="0" w:type="dxa"/>
              <w:bottom w:w="45" w:type="dxa"/>
              <w:end w:w="88" w:type="dxa"/>
            </w:tcMar>
          </w:tcPr>
          <w:p/>
        </w:tc>
        <w:tc>
          <w:tcPr>
            <w:tcW w:type="dxa" w:w="490"/>
            <w:tcMar>
              <w:top w:w="0" w:type="dxa"/>
              <w:start w:w="0" w:type="dxa"/>
              <w:bottom w:w="0" w:type="dxa"/>
              <w:end w:w="0" w:type="dxa"/>
            </w:tcMar>
            <w:vAlign w:val="top"/>
            <w:tcBorders>
              <w:right w:val="single" w:sz="5" w:space="0" w:color="B8B8B8"/>
            </w:tcBorders>
          </w:tcPr>
          <w:p>
            <w:pPr>
              <w:spacing w:before="0" w:after="0" w:line="240" w:lineRule="auto"/>
              <w:jc w:val="right"/>
            </w:pPr>
            <w:r>
              <w:drawing>
                <wp:inline xmlns:a="http://schemas.openxmlformats.org/drawingml/2006/main" xmlns:pic="http://schemas.openxmlformats.org/drawingml/2006/picture">
                  <wp:extent cx="237744" cy="237744"/>
                  <wp:docPr id="10" name="Picture 10" descr="Education section marker" title="Education section marker"/>
                  <wp:cNvGraphicFramePr>
                    <a:graphicFrameLocks noChangeAspect="1"/>
                  </wp:cNvGraphicFramePr>
                  <a:graphic>
                    <a:graphicData uri="http://schemas.openxmlformats.org/drawingml/2006/picture">
                      <pic:pic>
                        <pic:nvPicPr>
                          <pic:cNvPr id="0" name="education.png"/>
                          <pic:cNvPicPr/>
                        </pic:nvPicPr>
                        <pic:blipFill>
                          <a:blip r:embed="rId14"/>
                          <a:stretch>
                            <a:fillRect/>
                          </a:stretch>
                        </pic:blipFill>
                        <pic:spPr>
                          <a:xfrm>
                            <a:off x="0" y="0"/>
                            <a:ext cx="237744" cy="237744"/>
                          </a:xfrm>
                          <a:prstGeom prst="rect"/>
                        </pic:spPr>
                      </pic:pic>
                    </a:graphicData>
                  </a:graphic>
                </wp:inline>
              </w:drawing>
            </w:r>
          </w:p>
        </w:tc>
        <w:tc>
          <w:tcPr>
            <w:tcW w:type="dxa" w:w="8025"/>
            <w:tcMar>
              <w:top w:w="0" w:type="dxa"/>
              <w:start w:w="0" w:type="dxa"/>
              <w:bottom w:w="45" w:type="dxa"/>
              <w:end w:w="0" w:type="dxa"/>
            </w:tcMar>
          </w:tcPr>
          <w:p>
            <w:pPr>
              <w:pStyle w:val="Heading1"/>
            </w:pPr>
            <w:r>
              <w:t>Education</w:t>
            </w:r>
          </w:p>
        </w:tc>
      </w:tr>
      <w:tr>
        <w:trPr>
          <w:cantSplit/>
        </w:trPr>
        <w:tc>
          <w:tcPr>
            <w:tcW w:type="dxa" w:w="1785"/>
            <w:tcMar>
              <w:top w:w="200" w:type="dxa"/>
              <w:start w:w="0" w:type="dxa"/>
              <w:bottom w:w="40" w:type="dxa"/>
              <w:end w:w="88" w:type="dxa"/>
            </w:tcMar>
            <w:vAlign w:val="top"/>
          </w:tcPr>
          <w:p>
            <w:pPr>
              <w:pStyle w:val="ResumeDate"/>
            </w:pPr>
            <w:r>
              <w:t>01/2011 - 01/2016</w:t>
            </w:r>
          </w:p>
        </w:tc>
        <w:tc>
          <w:tcPr>
            <w:tcW w:type="dxa" w:w="490"/>
            <w:tcMar>
              <w:top w:w="43" w:type="dxa"/>
              <w:start w:w="0" w:type="dxa"/>
              <w:bottom w:w="0" w:type="dxa"/>
              <w:end w:w="0" w:type="dxa"/>
            </w:tcMar>
            <w:vAlign w:val="top"/>
            <w:tcBorders>
              <w:right w:val="single" w:sz="5" w:space="0" w:color="B8B8B8"/>
            </w:tcBorders>
          </w:tcPr>
          <w:p>
            <w:pPr>
              <w:spacing w:before="0" w:after="0" w:line="240" w:lineRule="auto"/>
              <w:jc w:val="right"/>
            </w:pPr>
            <w:r>
              <w:drawing>
                <wp:inline xmlns:a="http://schemas.openxmlformats.org/drawingml/2006/main" xmlns:pic="http://schemas.openxmlformats.org/drawingml/2006/picture">
                  <wp:extent cx="100584" cy="100584"/>
                  <wp:docPr id="11" name="Picture 11" descr="Decorative timeline marker" title="Decorative timeline marker"/>
                  <wp:cNvGraphicFramePr>
                    <a:graphicFrameLocks noChangeAspect="1"/>
                  </wp:cNvGraphicFramePr>
                  <a:graphic>
                    <a:graphicData uri="http://schemas.openxmlformats.org/drawingml/2006/picture">
                      <pic:pic>
                        <pic:nvPicPr>
                          <pic:cNvPr id="0" name="dot.png"/>
                          <pic:cNvPicPr/>
                        </pic:nvPicPr>
                        <pic:blipFill>
                          <a:blip r:embed="rId13"/>
                          <a:stretch>
                            <a:fillRect/>
                          </a:stretch>
                        </pic:blipFill>
                        <pic:spPr>
                          <a:xfrm>
                            <a:off x="0" y="0"/>
                            <a:ext cx="100584" cy="100584"/>
                          </a:xfrm>
                          <a:prstGeom prst="rect"/>
                        </pic:spPr>
                      </pic:pic>
                    </a:graphicData>
                  </a:graphic>
                </wp:inline>
              </w:drawing>
            </w:r>
          </w:p>
        </w:tc>
        <w:tc>
          <w:tcPr>
            <w:tcW w:type="dxa" w:w="8025"/>
            <w:tcMar>
              <w:top w:w="0" w:type="dxa"/>
              <w:start w:w="0" w:type="dxa"/>
              <w:bottom w:w="80" w:type="dxa"/>
              <w:end w:w="0" w:type="dxa"/>
            </w:tcMar>
          </w:tcPr>
          <w:p>
            <w:pPr>
              <w:pStyle w:val="ResumeDegree"/>
            </w:pPr>
            <w:r>
              <w:t>Business Administration | Bachelor of Applied Science (B.A.Sc.)</w:t>
            </w:r>
          </w:p>
          <w:p>
            <w:pPr>
              <w:pStyle w:val="ResumeCompany"/>
            </w:pPr>
            <w:r>
              <w:t>University of Northern Colorado</w:t>
            </w:r>
          </w:p>
        </w:tc>
      </w:tr>
      <w:tr>
        <w:trPr>
          <w:cantSplit/>
        </w:trPr>
        <w:tc>
          <w:tcPr>
            <w:tcW w:type="dxa" w:w="1785"/>
            <w:tcMar>
              <w:top w:w="0" w:type="dxa"/>
              <w:start w:w="0" w:type="dxa"/>
              <w:bottom w:w="30" w:type="dxa"/>
              <w:end w:w="88" w:type="dxa"/>
            </w:tcMar>
          </w:tcPr>
          <w:p/>
        </w:tc>
        <w:tc>
          <w:tcPr>
            <w:tcW w:type="dxa" w:w="490"/>
            <w:tcMar>
              <w:top w:w="0" w:type="dxa"/>
              <w:start w:w="0" w:type="dxa"/>
              <w:bottom w:w="0" w:type="dxa"/>
              <w:end w:w="0" w:type="dxa"/>
            </w:tcMar>
            <w:vAlign w:val="top"/>
            <w:tcBorders>
              <w:right w:val="single" w:sz="5" w:space="0" w:color="B8B8B8"/>
            </w:tcBorders>
          </w:tcPr>
          <w:p>
            <w:pPr>
              <w:spacing w:before="0" w:after="0" w:line="240" w:lineRule="auto"/>
              <w:jc w:val="right"/>
            </w:pPr>
            <w:r>
              <w:drawing>
                <wp:inline xmlns:a="http://schemas.openxmlformats.org/drawingml/2006/main" xmlns:pic="http://schemas.openxmlformats.org/drawingml/2006/picture">
                  <wp:extent cx="237744" cy="237744"/>
                  <wp:docPr id="12" name="Picture 12" descr="Core competencies section marker" title="Core competencies section marker"/>
                  <wp:cNvGraphicFramePr>
                    <a:graphicFrameLocks noChangeAspect="1"/>
                  </wp:cNvGraphicFramePr>
                  <a:graphic>
                    <a:graphicData uri="http://schemas.openxmlformats.org/drawingml/2006/picture">
                      <pic:pic>
                        <pic:nvPicPr>
                          <pic:cNvPr id="0" name="competencies.png"/>
                          <pic:cNvPicPr/>
                        </pic:nvPicPr>
                        <pic:blipFill>
                          <a:blip r:embed="rId15"/>
                          <a:stretch>
                            <a:fillRect/>
                          </a:stretch>
                        </pic:blipFill>
                        <pic:spPr>
                          <a:xfrm>
                            <a:off x="0" y="0"/>
                            <a:ext cx="237744" cy="237744"/>
                          </a:xfrm>
                          <a:prstGeom prst="rect"/>
                        </pic:spPr>
                      </pic:pic>
                    </a:graphicData>
                  </a:graphic>
                </wp:inline>
              </w:drawing>
            </w:r>
          </w:p>
        </w:tc>
        <w:tc>
          <w:tcPr>
            <w:tcW w:type="dxa" w:w="8025"/>
            <w:tcMar>
              <w:top w:w="0" w:type="dxa"/>
              <w:start w:w="0" w:type="dxa"/>
              <w:bottom w:w="30" w:type="dxa"/>
              <w:end w:w="0" w:type="dxa"/>
            </w:tcMar>
          </w:tcPr>
          <w:p>
            <w:pPr>
              <w:pStyle w:val="Heading1"/>
            </w:pPr>
            <w:r>
              <w:t>Core Competencies</w:t>
            </w:r>
          </w:p>
        </w:tc>
      </w:tr>
      <w:tr>
        <w:trPr>
          <w:cantSplit/>
        </w:trPr>
        <w:tc>
          <w:tcPr>
            <w:tcW w:type="dxa" w:w="1785"/>
            <w:tcMar>
              <w:top w:w="0" w:type="dxa"/>
              <w:start w:w="0" w:type="dxa"/>
              <w:bottom w:w="0" w:type="dxa"/>
              <w:end w:w="88" w:type="dxa"/>
            </w:tcMar>
          </w:tcPr>
          <w:p/>
        </w:tc>
        <w:tc>
          <w:tcPr>
            <w:tcW w:type="dxa" w:w="490"/>
            <w:tcMar>
              <w:top w:w="35" w:type="dxa"/>
              <w:start w:w="0" w:type="dxa"/>
              <w:bottom w:w="0" w:type="dxa"/>
              <w:end w:w="0" w:type="dxa"/>
            </w:tcMar>
            <w:vAlign w:val="top"/>
            <w:tcBorders>
              <w:right w:val="single" w:sz="5" w:space="0" w:color="B8B8B8"/>
            </w:tcBorders>
          </w:tcPr>
          <w:p>
            <w:pPr>
              <w:spacing w:before="0" w:after="0" w:line="240" w:lineRule="auto"/>
              <w:jc w:val="right"/>
            </w:pPr>
            <w:r>
              <w:drawing>
                <wp:inline xmlns:a="http://schemas.openxmlformats.org/drawingml/2006/main" xmlns:pic="http://schemas.openxmlformats.org/drawingml/2006/picture">
                  <wp:extent cx="100584" cy="100584"/>
                  <wp:docPr id="13" name="Picture 13" descr="Decorative timeline marker" title="Decorative timeline marker"/>
                  <wp:cNvGraphicFramePr>
                    <a:graphicFrameLocks noChangeAspect="1"/>
                  </wp:cNvGraphicFramePr>
                  <a:graphic>
                    <a:graphicData uri="http://schemas.openxmlformats.org/drawingml/2006/picture">
                      <pic:pic>
                        <pic:nvPicPr>
                          <pic:cNvPr id="0" name="dot.png"/>
                          <pic:cNvPicPr/>
                        </pic:nvPicPr>
                        <pic:blipFill>
                          <a:blip r:embed="rId13"/>
                          <a:stretch>
                            <a:fillRect/>
                          </a:stretch>
                        </pic:blipFill>
                        <pic:spPr>
                          <a:xfrm>
                            <a:off x="0" y="0"/>
                            <a:ext cx="100584" cy="100584"/>
                          </a:xfrm>
                          <a:prstGeom prst="rect"/>
                        </pic:spPr>
                      </pic:pic>
                    </a:graphicData>
                  </a:graphic>
                </wp:inline>
              </w:drawing>
            </w:r>
          </w:p>
        </w:tc>
        <w:tc>
          <w:tcPr>
            <w:tcW w:type="dxa" w:w="8025"/>
            <w:tcMar>
              <w:top w:w="10" w:type="dxa"/>
              <w:start w:w="0" w:type="dxa"/>
              <w:bottom w:w="0" w:type="dxa"/>
              <w:end w:w="0" w:type="dxa"/>
            </w:tcMar>
          </w:tcPr>
          <w:p/>
          <w:tbl>
            <w:tblPr>
              <w:tblW w:type="dxa" w:w="7780"/>
              <w:tblLayout w:type="fixed"/>
              <w:tblLook w:firstColumn="1" w:firstRow="1" w:lastColumn="0" w:lastRow="0" w:noHBand="0" w:noVBand="1" w:val="04A0"/>
              <w:tblInd w:w="120" w:type="dxa"/>
            </w:tblPr>
            <w:tblGrid>
              <w:gridCol w:w="2620"/>
              <w:gridCol w:w="2510"/>
              <w:gridCol w:w="2650"/>
            </w:tblGrid>
            <w:tr>
              <w:trPr>
                <w:cantSplit/>
              </w:trPr>
              <w:tc>
                <w:tcPr>
                  <w:tcW w:type="dxa" w:w="2620"/>
                  <w:tcMar>
                    <w:top w:w="55" w:type="dxa"/>
                    <w:start w:w="0" w:type="dxa"/>
                    <w:bottom w:w="130" w:type="dxa"/>
                    <w:end w:w="85" w:type="dxa"/>
                  </w:tcMar>
                </w:tcPr>
                <w:p>
                  <w:pPr>
                    <w:pStyle w:val="ResumeCompetency"/>
                  </w:pPr>
                  <w:r>
                    <w:t>GTM Strategy and ICP</w:t>
                  </w:r>
                </w:p>
              </w:tc>
              <w:tc>
                <w:tcPr>
                  <w:tcW w:type="dxa" w:w="2510"/>
                  <w:tcMar>
                    <w:top w:w="55" w:type="dxa"/>
                    <w:start w:w="0" w:type="dxa"/>
                    <w:bottom w:w="130" w:type="dxa"/>
                    <w:end w:w="85" w:type="dxa"/>
                  </w:tcMar>
                </w:tcPr>
                <w:p>
                  <w:pPr>
                    <w:pStyle w:val="ResumeCompetency"/>
                  </w:pPr>
                  <w:r>
                    <w:t>Forecasting and Planning</w:t>
                  </w:r>
                </w:p>
              </w:tc>
              <w:tc>
                <w:tcPr>
                  <w:tcW w:type="dxa" w:w="2650"/>
                  <w:tcMar>
                    <w:top w:w="55" w:type="dxa"/>
                    <w:start w:w="0" w:type="dxa"/>
                    <w:bottom w:w="130" w:type="dxa"/>
                    <w:end w:w="85" w:type="dxa"/>
                  </w:tcMar>
                </w:tcPr>
                <w:p>
                  <w:pPr>
                    <w:pStyle w:val="ResumeCompetency"/>
                  </w:pPr>
                  <w:r>
                    <w:t>Territory and Capacity</w:t>
                  </w:r>
                </w:p>
              </w:tc>
            </w:tr>
            <w:tr>
              <w:trPr>
                <w:cantSplit/>
              </w:trPr>
              <w:tc>
                <w:tcPr>
                  <w:tcW w:type="dxa" w:w="2620"/>
                  <w:tcMar>
                    <w:top w:w="55" w:type="dxa"/>
                    <w:start w:w="0" w:type="dxa"/>
                    <w:bottom w:w="130" w:type="dxa"/>
                    <w:end w:w="85" w:type="dxa"/>
                  </w:tcMar>
                </w:tcPr>
                <w:p>
                  <w:pPr>
                    <w:pStyle w:val="ResumeCompetency"/>
                  </w:pPr>
                  <w:r>
                    <w:t>CRM Implementation</w:t>
                  </w:r>
                </w:p>
              </w:tc>
              <w:tc>
                <w:tcPr>
                  <w:tcW w:type="dxa" w:w="2510"/>
                  <w:tcMar>
                    <w:top w:w="55" w:type="dxa"/>
                    <w:start w:w="0" w:type="dxa"/>
                    <w:bottom w:w="130" w:type="dxa"/>
                    <w:end w:w="85" w:type="dxa"/>
                  </w:tcMar>
                </w:tcPr>
                <w:p>
                  <w:pPr>
                    <w:pStyle w:val="ResumeCompetency"/>
                  </w:pPr>
                  <w:r>
                    <w:t>SQL and BI Analysis</w:t>
                  </w:r>
                </w:p>
              </w:tc>
              <w:tc>
                <w:tcPr>
                  <w:tcW w:type="dxa" w:w="2650"/>
                  <w:tcMar>
                    <w:top w:w="55" w:type="dxa"/>
                    <w:start w:w="0" w:type="dxa"/>
                    <w:bottom w:w="130" w:type="dxa"/>
                    <w:end w:w="85" w:type="dxa"/>
                  </w:tcMar>
                </w:tcPr>
                <w:p>
                  <w:pPr>
                    <w:pStyle w:val="ResumeCompetency"/>
                  </w:pPr>
                  <w:r>
                    <w:t>Outbound Workflows</w:t>
                  </w:r>
                </w:p>
              </w:tc>
            </w:tr>
            <w:tr>
              <w:trPr>
                <w:cantSplit/>
              </w:trPr>
              <w:tc>
                <w:tcPr>
                  <w:tcW w:type="dxa" w:w="2620"/>
                  <w:tcMar>
                    <w:top w:w="55" w:type="dxa"/>
                    <w:start w:w="0" w:type="dxa"/>
                    <w:bottom w:w="130" w:type="dxa"/>
                    <w:end w:w="85" w:type="dxa"/>
                  </w:tcMar>
                </w:tcPr>
                <w:p>
                  <w:pPr>
                    <w:pStyle w:val="ResumeCompetency"/>
                  </w:pPr>
                  <w:r>
                    <w:t>Salesforce and HubSpot</w:t>
                  </w:r>
                </w:p>
              </w:tc>
              <w:tc>
                <w:tcPr>
                  <w:tcW w:type="dxa" w:w="2510"/>
                  <w:tcMar>
                    <w:top w:w="55" w:type="dxa"/>
                    <w:start w:w="0" w:type="dxa"/>
                    <w:bottom w:w="130" w:type="dxa"/>
                    <w:end w:w="85" w:type="dxa"/>
                  </w:tcMar>
                </w:tcPr>
                <w:p>
                  <w:pPr>
                    <w:pStyle w:val="ResumeCompetency"/>
                  </w:pPr>
                  <w:r>
                    <w:t>Gong and ZoomInfo</w:t>
                  </w:r>
                </w:p>
              </w:tc>
              <w:tc>
                <w:tcPr>
                  <w:tcW w:type="dxa" w:w="2650"/>
                  <w:tcMar>
                    <w:top w:w="55" w:type="dxa"/>
                    <w:start w:w="0" w:type="dxa"/>
                    <w:bottom w:w="130" w:type="dxa"/>
                    <w:end w:w="85" w:type="dxa"/>
                  </w:tcMar>
                </w:tcPr>
                <w:p>
                  <w:pPr>
                    <w:pStyle w:val="ResumeCompetency"/>
                  </w:pPr>
                  <w:r>
                    <w:t>Sales Navigator</w:t>
                  </w:r>
                </w:p>
              </w:tc>
            </w:tr>
            <w:tr>
              <w:trPr>
                <w:cantSplit/>
              </w:trPr>
              <w:tc>
                <w:tcPr>
                  <w:tcW w:type="dxa" w:w="2620"/>
                  <w:tcMar>
                    <w:top w:w="55" w:type="dxa"/>
                    <w:start w:w="0" w:type="dxa"/>
                    <w:bottom w:w="130" w:type="dxa"/>
                    <w:end w:w="85" w:type="dxa"/>
                  </w:tcMar>
                </w:tcPr>
                <w:p>
                  <w:pPr>
                    <w:pStyle w:val="ResumeCompetency"/>
                  </w:pPr>
                  <w:r>
                    <w:t>AI Sales Workflows</w:t>
                  </w:r>
                </w:p>
              </w:tc>
              <w:tc>
                <w:tcPr>
                  <w:tcW w:type="dxa" w:w="2510"/>
                  <w:tcMar>
                    <w:top w:w="55" w:type="dxa"/>
                    <w:start w:w="0" w:type="dxa"/>
                    <w:bottom w:w="130" w:type="dxa"/>
                    <w:end w:w="85" w:type="dxa"/>
                  </w:tcMar>
                </w:tcPr>
                <w:p>
                  <w:pPr>
                    <w:pStyle w:val="ResumeCompetency"/>
                  </w:pPr>
                  <w:r>
                    <w:t>Sales Enablement</w:t>
                  </w:r>
                </w:p>
              </w:tc>
              <w:tc>
                <w:tcPr>
                  <w:tcW w:type="dxa" w:w="2650"/>
                  <w:tcMar>
                    <w:top w:w="55" w:type="dxa"/>
                    <w:start w:w="0" w:type="dxa"/>
                    <w:bottom w:w="130" w:type="dxa"/>
                    <w:end w:w="85" w:type="dxa"/>
                  </w:tcMar>
                </w:tcPr>
                <w:p>
                  <w:pPr>
                    <w:pStyle w:val="ResumeCompetency"/>
                  </w:pPr>
                  <w:r>
                    <w:t>Leadership and Coaching</w:t>
                  </w:r>
                </w:p>
              </w:tc>
            </w:tr>
          </w:tbl>
          <w:p/>
        </w:tc>
      </w:tr>
    </w:tbl>
    <w:sectPr w:rsidR="00FC693F" w:rsidRPr="0006063C" w:rsidSect="00034616">
      <w:pgSz w:w="11906" w:h="16838"/>
      <w:pgMar w:top="605" w:right="778" w:bottom="634" w:left="864" w:header="288" w:footer="28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doNotTrackMoves="1">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54" w:lineRule="auto" w:before="0"/>
    </w:pPr>
    <w:rPr>
      <w:rFonts w:ascii="Arial" w:hAnsi="Arial" w:eastAsia="Arial" w:cs="Arial"/>
      <w:b w:val="0"/>
      <w:color w:val="333333"/>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0" w:after="0" w:line="240" w:lineRule="auto"/>
      <w:ind w:left="120"/>
      <w:outlineLvl w:val="0"/>
    </w:pPr>
    <w:rPr>
      <w:rFonts w:ascii="Georgia" w:hAnsi="Georgia" w:eastAsia="Georgia" w:cs="Georgia"/>
      <w:b/>
      <w:bCs/>
      <w:color w:val="556D56"/>
      <w:sz w:val="31"/>
      <w:szCs w:val="28"/>
    </w:rPr>
  </w:style>
  <w:style w:type="paragraph" w:styleId="Heading2">
    <w:name w:val="heading 2"/>
    <w:basedOn w:val="Normal"/>
    <w:next w:val="Normal"/>
    <w:link w:val="Heading2Char"/>
    <w:uiPriority w:val="9"/>
    <w:unhideWhenUsed/>
    <w:qFormat/>
    <w:rsid w:val="00FC693F"/>
    <w:pPr>
      <w:keepNext/>
      <w:keepLines/>
      <w:spacing w:before="0" w:after="0" w:line="240" w:lineRule="auto"/>
      <w:ind w:left="120"/>
      <w:outlineLvl w:val="1"/>
    </w:pPr>
    <w:rPr>
      <w:rFonts w:ascii="Arial" w:hAnsi="Arial" w:eastAsia="Arial" w:cs="Arial"/>
      <w:b/>
      <w:bCs/>
      <w:color w:val="101010"/>
      <w:sz w:val="22"/>
      <w:szCs w:val="26"/>
    </w:rPr>
  </w:style>
  <w:style w:type="paragraph" w:styleId="Heading3">
    <w:name w:val="heading 3"/>
    <w:basedOn w:val="Normal"/>
    <w:next w:val="Normal"/>
    <w:link w:val="Heading3Char"/>
    <w:uiPriority w:val="9"/>
    <w:unhideWhenUsed/>
    <w:qFormat/>
    <w:rsid w:val="00FC693F"/>
    <w:pPr>
      <w:keepNext/>
      <w:keepLines/>
      <w:spacing w:before="80" w:after="36" w:line="240" w:lineRule="auto"/>
      <w:ind w:left="120"/>
      <w:outlineLvl w:val="2"/>
    </w:pPr>
    <w:rPr>
      <w:rFonts w:ascii="Arial" w:hAnsi="Arial" w:eastAsia="Arial" w:cs="Arial"/>
      <w:b/>
      <w:bCs/>
      <w:color w:val="333333"/>
      <w:sz w:val="19"/>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before="0" w:after="24" w:line="254" w:lineRule="auto"/>
      <w:ind w:left="364" w:hanging="187" w:right="0"/>
      <w:contextualSpacing/>
    </w:pPr>
    <w:rPr>
      <w:rFonts w:ascii="Arial" w:hAnsi="Arial" w:eastAsia="Arial" w:cs="Arial"/>
      <w:b w:val="0"/>
      <w:color w:val="333333"/>
      <w:sz w:val="19"/>
    </w:rPr>
  </w:style>
  <w:style w:type="paragraph" w:styleId="ListBullet2">
    <w:name w:val="List Bullet 2"/>
    <w:basedOn w:val="Normal"/>
    <w:uiPriority w:val="99"/>
    <w:unhideWhenUsed/>
    <w:rsid w:val="00326F90"/>
    <w:pPr>
      <w:numPr>
        <w:numId w:val="2"/>
      </w:numPr>
      <w:contextualSpacing/>
    </w:pPr>
    <w:rPr>
      <w:rFonts w:ascii="Arial" w:hAnsi="Arial"/>
      <w:color w:val="333333"/>
      <w:sz w:val="19"/>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ResumeName">
    <w:name w:val="Resume Name"/>
    <w:basedOn w:val="Normal"/>
    <w:pPr>
      <w:spacing w:before="0" w:after="240" w:line="240" w:lineRule="auto"/>
      <w:ind w:left="79"/>
    </w:pPr>
    <w:rPr>
      <w:rFonts w:ascii="Georgia" w:hAnsi="Georgia" w:eastAsia="Georgia" w:cs="Georgia"/>
      <w:b/>
      <w:color w:val="556D56"/>
      <w:sz w:val="56"/>
    </w:rPr>
  </w:style>
  <w:style w:type="paragraph" w:customStyle="1" w:styleId="ResumeContact">
    <w:name w:val="Resume Contact"/>
    <w:basedOn w:val="Normal"/>
    <w:pPr>
      <w:spacing w:before="0" w:after="0" w:line="254" w:lineRule="auto"/>
      <w:ind w:left="79"/>
    </w:pPr>
    <w:rPr>
      <w:rFonts w:ascii="Arial" w:hAnsi="Arial" w:eastAsia="Arial" w:cs="Arial"/>
      <w:b w:val="0"/>
      <w:color w:val="333333"/>
      <w:sz w:val="17"/>
    </w:rPr>
  </w:style>
  <w:style w:type="paragraph" w:customStyle="1" w:styleId="ResumeSummary">
    <w:name w:val="Resume Summary"/>
    <w:basedOn w:val="Normal"/>
    <w:pPr>
      <w:spacing w:before="0" w:after="160" w:line="266" w:lineRule="auto"/>
      <w:ind w:left="120"/>
    </w:pPr>
    <w:rPr>
      <w:rFonts w:ascii="Arial" w:hAnsi="Arial" w:eastAsia="Arial" w:cs="Arial"/>
      <w:b w:val="0"/>
      <w:color w:val="333333"/>
      <w:sz w:val="19"/>
    </w:rPr>
  </w:style>
  <w:style w:type="paragraph" w:customStyle="1" w:styleId="ResumeSummaryLast">
    <w:name w:val="Resume Summary Last"/>
    <w:basedOn w:val="ResumeSummary"/>
    <w:pPr>
      <w:spacing w:before="0" w:after="0" w:line="266" w:lineRule="auto"/>
      <w:ind w:left="120"/>
    </w:pPr>
    <w:rPr>
      <w:rFonts w:ascii="Arial" w:hAnsi="Arial" w:eastAsia="Arial" w:cs="Arial"/>
      <w:b w:val="0"/>
      <w:color w:val="333333"/>
      <w:sz w:val="19"/>
    </w:rPr>
  </w:style>
  <w:style w:type="paragraph" w:customStyle="1" w:styleId="ResumeCompany">
    <w:name w:val="Resume Company"/>
    <w:basedOn w:val="Normal"/>
    <w:pPr>
      <w:keepNext/>
      <w:spacing w:before="0" w:after="76" w:line="240" w:lineRule="auto"/>
      <w:ind w:left="120"/>
    </w:pPr>
    <w:rPr>
      <w:rFonts w:ascii="Arial" w:hAnsi="Arial" w:eastAsia="Arial" w:cs="Arial"/>
      <w:b/>
      <w:color w:val="101010"/>
      <w:sz w:val="21"/>
    </w:rPr>
  </w:style>
  <w:style w:type="paragraph" w:customStyle="1" w:styleId="ResumeDate">
    <w:name w:val="Resume Date"/>
    <w:basedOn w:val="Normal"/>
    <w:pPr>
      <w:spacing w:before="0" w:after="0" w:line="240" w:lineRule="auto"/>
      <w:ind w:right="88"/>
      <w:jc w:val="right"/>
    </w:pPr>
    <w:rPr>
      <w:rFonts w:ascii="Arial" w:hAnsi="Arial" w:eastAsia="Arial" w:cs="Arial"/>
      <w:b w:val="0"/>
      <w:color w:val="101010"/>
      <w:sz w:val="16"/>
    </w:rPr>
  </w:style>
  <w:style w:type="paragraph" w:customStyle="1" w:styleId="ResumeLocation">
    <w:name w:val="Resume Location"/>
    <w:basedOn w:val="Normal"/>
    <w:pPr>
      <w:spacing w:before="0" w:after="0" w:line="240" w:lineRule="auto"/>
      <w:ind w:right="88"/>
      <w:jc w:val="right"/>
    </w:pPr>
    <w:rPr>
      <w:rFonts w:ascii="Arial" w:hAnsi="Arial" w:eastAsia="Arial" w:cs="Arial"/>
      <w:b w:val="0"/>
      <w:color w:val="101010"/>
      <w:sz w:val="16"/>
    </w:rPr>
  </w:style>
  <w:style w:type="paragraph" w:customStyle="1" w:styleId="ResumeDegree">
    <w:name w:val="Resume Degree"/>
    <w:basedOn w:val="Normal"/>
    <w:pPr>
      <w:keepNext/>
      <w:spacing w:before="0" w:after="0" w:line="240" w:lineRule="auto"/>
      <w:ind w:left="120"/>
    </w:pPr>
    <w:rPr>
      <w:rFonts w:ascii="Arial" w:hAnsi="Arial" w:eastAsia="Arial" w:cs="Arial"/>
      <w:b/>
      <w:color w:val="101010"/>
      <w:sz w:val="21"/>
    </w:rPr>
  </w:style>
  <w:style w:type="paragraph" w:customStyle="1" w:styleId="ResumeCompetency">
    <w:name w:val="Resume Competency"/>
    <w:basedOn w:val="Normal"/>
    <w:pPr>
      <w:spacing w:before="0" w:after="0" w:line="254" w:lineRule="auto"/>
    </w:pPr>
    <w:rPr>
      <w:rFonts w:ascii="Arial" w:hAnsi="Arial" w:eastAsia="Arial" w:cs="Arial"/>
      <w:b w:val="0"/>
      <w:color w:val="333333"/>
      <w:sz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hyperlink" Target="https://www.linkedin.com/in/brandenfoote/" TargetMode="External"/><Relationship Id="rId11" Type="http://schemas.openxmlformats.org/officeDocument/2006/relationships/image" Target="media/image2.png"/><Relationship Id="rId12" Type="http://schemas.openxmlformats.org/officeDocument/2006/relationships/image" Target="media/image3.png"/><Relationship Id="rId13" Type="http://schemas.openxmlformats.org/officeDocument/2006/relationships/image" Target="media/image4.png"/><Relationship Id="rId14" Type="http://schemas.openxmlformats.org/officeDocument/2006/relationships/image" Target="media/image5.png"/><Relationship Id="rId15"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Branden Foote GTM Consulting Resume</dc:title>
  <dc:subject>GTM consulting and revenue operations</dc:subject>
  <dc:creator>Branden Foote</dc:creator>
  <cp:keywords>Sales Leadership, GTM, Revenue Systems, RevOps, Forecasting, AI Workflows</cp:keywords>
  <dc:description>Two-page resume using the green timeline visual system.</dc:description>
  <cp:lastModifiedBy>Branden Foote</cp:lastModifiedBy>
  <cp:revision>1</cp:revision>
  <dcterms:created xsi:type="dcterms:W3CDTF">2013-12-23T23:15:00Z</dcterms:created>
  <dcterms:modified xsi:type="dcterms:W3CDTF">2013-12-23T23:15:00Z</dcterms:modified>
  <cp:category/>
</cp:coreProperties>
</file>